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алгебра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10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ru-RU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 w:bidi="hi-IN"/>
        </w:rPr>
        <w:t>ФК ГОС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 w:bidi="hi-IN"/>
        </w:rPr>
        <w:t xml:space="preserve">; 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="15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 программа по алгебре 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основе федерального компонента государственного стандарта общего образования, «Программы по алгебре 10-11 классы», составитель Бурмистрова Т. А.,(М.:Просвещение.2016).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 о рабочей программе МБОУ СШ № 155;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Учебный план МБОУ СШ № 155.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С.М. Никольского, М.К. Потапова  и др. «Алгебра и начала математического анализа», 10 класс, М.: Просвещение, 2017 </w:t>
      </w:r>
    </w:p>
    <w:p>
      <w:pPr>
        <w:pStyle w:val="3"/>
        <w:keepNext w:val="false"/>
        <w:widowControl w:val="false"/>
        <w:spacing w:lineRule="auto" w:line="276"/>
        <w:ind w:firstLine="567"/>
        <w:jc w:val="both"/>
        <w:rPr>
          <w:rFonts w:ascii="Times New Roman" w:hAnsi="Times New Roman" w:cs="Times New Roman"/>
          <w:b w:val="false"/>
          <w:b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sz w:val="24"/>
          <w:szCs w:val="24"/>
          <w:u w:val="single"/>
        </w:rPr>
        <w:t>Цели рабочей программы: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before="0" w:after="0"/>
        <w:ind w:left="360" w:right="57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формирование представлений</w:t>
      </w:r>
      <w:r>
        <w:rPr>
          <w:rFonts w:cs="Times New Roman"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before="0" w:after="0"/>
        <w:ind w:left="360" w:right="57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развитие </w:t>
      </w:r>
      <w:r>
        <w:rPr>
          <w:rFonts w:cs="Times New Roman"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before="0" w:after="0"/>
        <w:ind w:left="360" w:right="57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овладение математическими знаниями и умениями</w:t>
      </w:r>
      <w:r>
        <w:rPr>
          <w:rFonts w:cs="Times New Roman"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before="0" w:after="0"/>
        <w:ind w:left="360" w:right="57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воспитание </w:t>
      </w:r>
      <w:r>
        <w:rPr>
          <w:rFonts w:cs="Times New Roman" w:ascii="Times New Roman" w:hAnsi="Times New Roman"/>
          <w:sz w:val="24"/>
          <w:szCs w:val="24"/>
        </w:rPr>
        <w:t xml:space="preserve">средствами математики культуры личности: </w:t>
      </w:r>
      <w:r>
        <w:rPr>
          <w:rFonts w:cs="Times New Roman"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>
        <w:rPr>
          <w:rFonts w:cs="Times New Roman"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>
      <w:pPr>
        <w:pStyle w:val="ListParagraph"/>
        <w:shd w:val="clear" w:color="auto" w:fill="FFFFFF"/>
        <w:spacing w:before="0" w:after="150"/>
        <w:ind w:left="360" w:hanging="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Задачи рабочей программы. 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15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15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планирование и осуществление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15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 работы, соотнесения их с поставленной задачей, с личным жизненным опытом;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15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before="0" w:after="0"/>
        <w:ind w:left="360" w:right="57" w:hanging="36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lang w:eastAsia="ru-RU"/>
        </w:rPr>
        <w:t xml:space="preserve"> 102 часа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1"/>
        <w:spacing w:lineRule="auto" w:line="276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c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8"/>
        <w:gridCol w:w="4226"/>
        <w:gridCol w:w="2759"/>
      </w:tblGrid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Целые и действительные числа Рациональные уравнения и неравенства 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Входная контрольная.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75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Arial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Times New Roman" w:cs="Arial" w:ascii="Times New Roman" w:hAnsi="Times New Roman"/>
                <w:kern w:val="2"/>
                <w:sz w:val="24"/>
                <w:szCs w:val="24"/>
                <w:lang w:eastAsia="ru-RU" w:bidi="hi-IN"/>
              </w:rPr>
              <w:t>30.04.2020 – 22.05.2020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Корень степени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Степень положительного числа 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Логарифмы. Простейшие показательные и логарифмические уравнения и неравенства  методы их решения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Контрольная работа.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за 1 полугодие.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Синус и косинус угла и числа. Тангенс и котангенс угла и числа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Формулы сложения. Тригонометрические функции числового аргумента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Элементы теории вероятностей. Повторение курса алгебры и математического анализа за 10 класс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Аннотацию составила учитель математики Менделеева Юлия Алексеевна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235189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3">
    <w:name w:val="Heading 3"/>
    <w:basedOn w:val="Normal"/>
    <w:next w:val="Normal"/>
    <w:link w:val="30"/>
    <w:semiHidden/>
    <w:unhideWhenUsed/>
    <w:qFormat/>
    <w:rsid w:val="00235189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6">
    <w:name w:val="Heading 6"/>
    <w:basedOn w:val="Normal"/>
    <w:next w:val="Normal"/>
    <w:link w:val="60"/>
    <w:semiHidden/>
    <w:unhideWhenUsed/>
    <w:qFormat/>
    <w:rsid w:val="00235189"/>
    <w:pPr>
      <w:keepNext w:val="true"/>
      <w:spacing w:lineRule="auto" w:line="240" w:before="0" w:after="0"/>
      <w:ind w:firstLine="709"/>
      <w:jc w:val="both"/>
      <w:outlineLvl w:val="5"/>
    </w:pPr>
    <w:rPr>
      <w:rFonts w:ascii="Times New Roman" w:hAnsi="Times New Roman" w:eastAsia="Times New Roman" w:cs="Times New Roman"/>
      <w:b/>
      <w:bCs/>
      <w:i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ascii="Times New Roman" w:hAnsi="Times New Roman" w:cs="Symbol"/>
      <w:sz w:val="24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Times New Roman" w:hAnsi="Times New Roman" w:cs="Symbol"/>
      <w:b/>
      <w:sz w:val="24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ascii="Times New Roman" w:hAnsi="Times New Roman" w:cs="Symbol"/>
      <w:sz w:val="24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ascii="Times New Roman" w:hAnsi="Times New Roman" w:cs="Symbol"/>
      <w:b/>
      <w:sz w:val="24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ListLabel72" w:customStyle="1">
    <w:name w:val="ListLabel 72"/>
    <w:qFormat/>
    <w:rPr>
      <w:rFonts w:ascii="Times New Roman" w:hAnsi="Times New Roman" w:cs="Symbol"/>
      <w:sz w:val="24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  <w:b/>
      <w:sz w:val="24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21" w:customStyle="1">
    <w:name w:val="Заголовок 2 Знак"/>
    <w:basedOn w:val="DefaultParagraphFont"/>
    <w:link w:val="2"/>
    <w:semiHidden/>
    <w:qFormat/>
    <w:rsid w:val="0023518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235189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5189"/>
    <w:rPr>
      <w:rFonts w:ascii="Times New Roman" w:hAnsi="Times New Roman" w:eastAsia="Times New Roman" w:cs="Times New Roman"/>
      <w:b/>
      <w:bCs/>
      <w:i/>
      <w:sz w:val="24"/>
      <w:szCs w:val="20"/>
      <w:lang w:eastAsia="ru-RU"/>
    </w:rPr>
  </w:style>
  <w:style w:type="character" w:styleId="Style13" w:customStyle="1">
    <w:name w:val="Название Знак"/>
    <w:basedOn w:val="DefaultParagraphFont"/>
    <w:link w:val="ae"/>
    <w:qFormat/>
    <w:rsid w:val="0023518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Знак"/>
    <w:basedOn w:val="DefaultParagraphFont"/>
    <w:link w:val="af0"/>
    <w:semiHidden/>
    <w:qFormat/>
    <w:rsid w:val="00235189"/>
    <w:rPr>
      <w:rFonts w:ascii="Courier New" w:hAnsi="Courier New" w:eastAsia="Times New Roman" w:cs="Times New Roman"/>
      <w:szCs w:val="20"/>
      <w:lang w:eastAsia="ru-RU"/>
    </w:rPr>
  </w:style>
  <w:style w:type="character" w:styleId="ListLabel90">
    <w:name w:val="ListLabel 90"/>
    <w:qFormat/>
    <w:rPr>
      <w:rFonts w:cs="Symbol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  <w:b/>
      <w:sz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Times New Roman" w:hAnsi="Times New Roman" w:cs="Symbol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sz w:val="22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Symbol"/>
      <w:sz w:val="24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ru-RU" w:val="ru-RU" w:bidi="ar-SA"/>
    </w:rPr>
  </w:style>
  <w:style w:type="paragraph" w:styleId="NoSpacing">
    <w:name w:val="No Spacing"/>
    <w:uiPriority w:val="1"/>
    <w:qFormat/>
    <w:rsid w:val="008306ff"/>
    <w:pPr>
      <w:widowControl/>
      <w:bidi w:val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21">
    <w:name w:val="Title"/>
    <w:basedOn w:val="Normal"/>
    <w:link w:val="af"/>
    <w:qFormat/>
    <w:rsid w:val="0023518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PlainText">
    <w:name w:val="Plain Text"/>
    <w:basedOn w:val="Normal"/>
    <w:link w:val="af1"/>
    <w:semiHidden/>
    <w:unhideWhenUsed/>
    <w:qFormat/>
    <w:rsid w:val="00235189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f02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2</Pages>
  <Words>404</Words>
  <Characters>2939</Characters>
  <CharactersWithSpaces>3309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2020-04-26T12:23:00Z</dcterms:created>
  <dc:creator>Павел Георгиевич</dc:creator>
  <dc:description/>
  <dc:language>ru-RU</dc:language>
  <cp:lastModifiedBy/>
  <dcterms:modified xsi:type="dcterms:W3CDTF">2020-04-27T17:17:35Z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